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color w:val="5A6472"/>
          <w:spacing w:val="30"/>
          <w:sz w:val="15"/>
          <w:szCs w:val="15"/>
        </w:rPr>
        <w:t xml:space="preserve">PHANMEMBIZ  |  MẪU MIỄN PHÍ</w:t>
      </w:r>
    </w:p>
    <w:p>
      <w:pPr>
        <w:spacing w:after="60" w:line="300"/>
      </w:pPr>
      <w:r>
        <w:rPr>
          <w:rFonts w:ascii="Arial" w:cs="Arial" w:eastAsia="Arial" w:hAnsi="Arial"/>
          <w:b/>
          <w:bCs/>
          <w:color w:val="1B2A41"/>
          <w:sz w:val="36"/>
          <w:szCs w:val="36"/>
        </w:rPr>
        <w:t xml:space="preserve">Quy trình bán hàng (SOP) - 1 trang</w:t>
      </w:r>
    </w:p>
    <w:p>
      <w:pPr>
        <w:spacing w:after="80" w:before="0" w:line="252"/>
      </w:pPr>
      <w:r>
        <w:rPr>
          <w:rFonts w:ascii="Arial" w:cs="Arial" w:eastAsia="Arial" w:hAnsi="Arial"/>
          <w:color w:val="5A6472"/>
          <w:sz w:val="18"/>
          <w:szCs w:val="18"/>
        </w:rPr>
        <w:t xml:space="preserve">Dành cho doanh nghiệp dưới 50 người. Chữ màu xanh trong ngoặc vuông là chỗ cần điền hoặc thay bằng số của doanh nghiệp bạn; các con số trong ngoặc là gợi ý để bắt đầu, không phải chuẩn.</w:t>
      </w:r>
    </w:p>
    <w:tbl>
      <w:tblPr>
        <w:tblW w:type="dxa" w:w="10506"/>
        <w:tblBorders>
          <w:top w:val="single" w:color="auto" w:sz="4"/>
          <w:left w:val="single" w:color="auto" w:sz="4"/>
          <w:bottom w:val="single" w:color="auto" w:sz="4"/>
          <w:right w:val="single" w:color="auto" w:sz="4"/>
          <w:insideH w:val="single" w:color="auto" w:sz="4"/>
          <w:insideV w:val="single" w:color="auto" w:sz="4"/>
        </w:tblBorders>
      </w:tblPr>
      <w:tblGrid>
        <w:gridCol w:w="3502"/>
        <w:gridCol w:w="3502"/>
        <w:gridCol w:w="3502"/>
      </w:tblGrid>
      <w:tr>
        <w:trPr>
          <w:cantSplit/>
        </w:trPr>
        <w:tc>
          <w:tcPr>
            <w:tcW w:type="dxa" w:w="3502"/>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Công ty:</w:t>
            </w:r>
            <w:r>
              <w:rPr>
                <w:rFonts w:ascii="Arial" w:cs="Arial" w:eastAsia="Arial" w:hAnsi="Arial"/>
                <w:b w:val="false"/>
                <w:bCs w:val="false"/>
                <w:sz w:val="16"/>
                <w:szCs w:val="16"/>
              </w:rPr>
              <w:t xml:space="preserve"> </w:t>
            </w:r>
            <w:r>
              <w:rPr>
                <w:rFonts w:ascii="Arial" w:cs="Arial" w:eastAsia="Arial" w:hAnsi="Arial"/>
                <w:b w:val="false"/>
                <w:bCs w:val="false"/>
                <w:sz w:val="16"/>
                <w:szCs w:val="16"/>
              </w:rPr>
              <w:t xml:space="preserve">[tên công ty]</w:t>
            </w:r>
          </w:p>
        </w:tc>
        <w:tc>
          <w:tcPr>
            <w:tcW w:type="dxa" w:w="3502"/>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Sản phẩm, dịch vụ áp dụng:</w:t>
            </w:r>
            <w:r>
              <w:rPr>
                <w:rFonts w:ascii="Arial" w:cs="Arial" w:eastAsia="Arial" w:hAnsi="Arial"/>
                <w:b w:val="false"/>
                <w:bCs w:val="false"/>
                <w:sz w:val="16"/>
                <w:szCs w:val="16"/>
              </w:rPr>
              <w:t xml:space="preserve"> </w:t>
            </w:r>
            <w:r>
              <w:rPr>
                <w:rFonts w:ascii="Arial" w:cs="Arial" w:eastAsia="Arial" w:hAnsi="Arial"/>
                <w:b w:val="false"/>
                <w:bCs w:val="false"/>
                <w:sz w:val="16"/>
                <w:szCs w:val="16"/>
              </w:rPr>
              <w:t xml:space="preserve">[tên]</w:t>
            </w:r>
          </w:p>
        </w:tc>
        <w:tc>
          <w:tcPr>
            <w:tcW w:type="dxa" w:w="3502"/>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Người sở hữu quy trình:</w:t>
            </w:r>
            <w:r>
              <w:rPr>
                <w:rFonts w:ascii="Arial" w:cs="Arial" w:eastAsia="Arial" w:hAnsi="Arial"/>
                <w:b w:val="false"/>
                <w:bCs w:val="false"/>
                <w:sz w:val="16"/>
                <w:szCs w:val="16"/>
              </w:rPr>
              <w:t xml:space="preserve"> </w:t>
            </w:r>
            <w:r>
              <w:rPr>
                <w:rFonts w:ascii="Arial" w:cs="Arial" w:eastAsia="Arial" w:hAnsi="Arial"/>
                <w:b w:val="false"/>
                <w:bCs w:val="false"/>
                <w:sz w:val="16"/>
                <w:szCs w:val="16"/>
              </w:rPr>
              <w:t xml:space="preserve">[họ tên, chức danh]</w:t>
            </w:r>
          </w:p>
        </w:tc>
      </w:tr>
      <w:tr>
        <w:trPr>
          <w:cantSplit/>
        </w:trPr>
        <w:tc>
          <w:tcPr>
            <w:tcW w:type="dxa" w:w="3502"/>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Phiên bản, ngày:</w:t>
            </w:r>
            <w:r>
              <w:rPr>
                <w:rFonts w:ascii="Arial" w:cs="Arial" w:eastAsia="Arial" w:hAnsi="Arial"/>
                <w:b w:val="false"/>
                <w:bCs w:val="false"/>
                <w:sz w:val="16"/>
                <w:szCs w:val="16"/>
              </w:rPr>
              <w:t xml:space="preserve"> </w:t>
            </w:r>
            <w:r>
              <w:rPr>
                <w:rFonts w:ascii="Arial" w:cs="Arial" w:eastAsia="Arial" w:hAnsi="Arial"/>
                <w:b w:val="false"/>
                <w:bCs w:val="false"/>
                <w:sz w:val="16"/>
                <w:szCs w:val="16"/>
              </w:rPr>
              <w:t xml:space="preserve">[v1.0, ngày]</w:t>
            </w:r>
          </w:p>
        </w:tc>
        <w:tc>
          <w:tcPr>
            <w:tcW w:type="dxa" w:w="3502"/>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Rà soát tiếp theo:</w:t>
            </w:r>
            <w:r>
              <w:rPr>
                <w:rFonts w:ascii="Arial" w:cs="Arial" w:eastAsia="Arial" w:hAnsi="Arial"/>
                <w:b w:val="false"/>
                <w:bCs w:val="false"/>
                <w:sz w:val="16"/>
                <w:szCs w:val="16"/>
              </w:rPr>
              <w:t xml:space="preserve"> </w:t>
            </w:r>
            <w:r>
              <w:rPr>
                <w:rFonts w:ascii="Arial" w:cs="Arial" w:eastAsia="Arial" w:hAnsi="Arial"/>
                <w:b w:val="false"/>
                <w:bCs w:val="false"/>
                <w:sz w:val="16"/>
                <w:szCs w:val="16"/>
              </w:rPr>
              <w:t xml:space="preserve">[mỗi quý]</w:t>
            </w:r>
          </w:p>
        </w:tc>
        <w:tc>
          <w:tcPr>
            <w:tcW w:type="dxa" w:w="3502"/>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Công cụ:</w:t>
            </w:r>
            <w:r>
              <w:rPr>
                <w:rFonts w:ascii="Arial" w:cs="Arial" w:eastAsia="Arial" w:hAnsi="Arial"/>
                <w:b w:val="false"/>
                <w:bCs w:val="false"/>
                <w:sz w:val="16"/>
                <w:szCs w:val="16"/>
              </w:rPr>
              <w:t xml:space="preserve"> </w:t>
            </w:r>
            <w:r>
              <w:rPr>
                <w:rFonts w:ascii="Arial" w:cs="Arial" w:eastAsia="Arial" w:hAnsi="Arial"/>
                <w:b w:val="false"/>
                <w:bCs w:val="false"/>
                <w:sz w:val="16"/>
                <w:szCs w:val="16"/>
              </w:rPr>
              <w:t xml:space="preserve">[tên CRM]</w:t>
            </w:r>
          </w:p>
        </w:tc>
      </w:tr>
    </w:tbl>
    <w:p>
      <w:pPr>
        <w:keepNext/>
        <w:spacing w:after="50" w:before="110"/>
      </w:pPr>
      <w:r>
        <w:rPr>
          <w:rFonts w:ascii="Arial" w:cs="Arial" w:eastAsia="Arial" w:hAnsi="Arial"/>
          <w:b/>
          <w:bCs/>
          <w:color w:val="1F4E9E"/>
          <w:sz w:val="21"/>
          <w:szCs w:val="21"/>
        </w:rPr>
        <w:t xml:space="preserve">1. Mục đích và phạm vi</w:t>
      </w:r>
    </w:p>
    <w:p>
      <w:pPr>
        <w:spacing w:after="40" w:before="0" w:line="252"/>
      </w:pPr>
      <w:r>
        <w:rPr>
          <w:rFonts w:ascii="Arial" w:cs="Arial" w:eastAsia="Arial" w:hAnsi="Arial"/>
          <w:sz w:val="18"/>
          <w:szCs w:val="18"/>
        </w:rPr>
        <w:t xml:space="preserve">Quy trình này mô tả các bước đi của một khách hàng, từ lúc có lead đến lúc bàn giao sau bán, để mọi nhân viên bán hàng làm theo cùng cách và dữ liệu trong CRM đáng tin. </w:t>
      </w:r>
      <w:r>
        <w:rPr>
          <w:rFonts w:ascii="Arial" w:cs="Arial" w:eastAsia="Arial" w:hAnsi="Arial"/>
          <w:sz w:val="18"/>
          <w:szCs w:val="18"/>
        </w:rPr>
        <w:t xml:space="preserve">Nguyên tắc chung: việc chưa ghi vào CRM thì coi như chưa xảy ra.</w:t>
      </w:r>
    </w:p>
    <w:p>
      <w:pPr>
        <w:keepNext/>
        <w:spacing w:after="50" w:before="110"/>
      </w:pPr>
      <w:r>
        <w:rPr>
          <w:rFonts w:ascii="Arial" w:cs="Arial" w:eastAsia="Arial" w:hAnsi="Arial"/>
          <w:b/>
          <w:bCs/>
          <w:color w:val="1F4E9E"/>
          <w:sz w:val="21"/>
          <w:szCs w:val="21"/>
        </w:rPr>
        <w:t xml:space="preserve">2. Bảy giai đoạn, việc cần làm và điều kiện chuyển bước</w:t>
      </w:r>
    </w:p>
    <w:tbl>
      <w:tblPr>
        <w:tblW w:type="dxa" w:w="10506"/>
        <w:tblBorders>
          <w:top w:val="single" w:color="auto" w:sz="4"/>
          <w:left w:val="single" w:color="auto" w:sz="4"/>
          <w:bottom w:val="single" w:color="auto" w:sz="4"/>
          <w:right w:val="single" w:color="auto" w:sz="4"/>
          <w:insideH w:val="single" w:color="auto" w:sz="4"/>
          <w:insideV w:val="single" w:color="auto" w:sz="4"/>
        </w:tblBorders>
      </w:tblPr>
      <w:tblGrid>
        <w:gridCol w:w="380"/>
        <w:gridCol w:w="1250"/>
        <w:gridCol w:w="3700"/>
        <w:gridCol w:w="3300"/>
        <w:gridCol w:w="1876"/>
      </w:tblGrid>
      <w:tr>
        <w:trPr>
          <w:tblHeader/>
        </w:trPr>
        <w:tc>
          <w:tcPr>
            <w:tcW w:type="dxa" w:w="380"/>
            <w:tcBorders>
              <w:top w:val="single" w:color="C9D1DC" w:sz="4"/>
              <w:left w:val="single" w:color="C9D1DC" w:sz="4"/>
              <w:bottom w:val="single" w:color="C9D1DC" w:sz="4"/>
              <w:right w:val="single" w:color="C9D1DC" w:sz="4"/>
            </w:tcBorders>
            <w:shd w:fill="1B2A41" w:color="auto" w:val="clear"/>
            <w:tcMar>
              <w:top w:type="dxa" w:w="40"/>
              <w:left w:type="dxa" w:w="80"/>
              <w:bottom w:type="dxa" w:w="40"/>
              <w:right w:type="dxa" w:w="80"/>
            </w:tcMar>
          </w:tcPr>
          <w:p>
            <w:pPr>
              <w:spacing w:after="0" w:line="232"/>
            </w:pPr>
            <w:r>
              <w:rPr>
                <w:rFonts w:ascii="Arial" w:cs="Arial" w:eastAsia="Arial" w:hAnsi="Arial"/>
                <w:b/>
                <w:bCs/>
                <w:color w:val="FFFFFF"/>
                <w:sz w:val="16"/>
                <w:szCs w:val="16"/>
              </w:rPr>
              <w:t xml:space="preserve">#</w:t>
            </w:r>
          </w:p>
        </w:tc>
        <w:tc>
          <w:tcPr>
            <w:tcW w:type="dxa" w:w="1250"/>
            <w:tcBorders>
              <w:top w:val="single" w:color="C9D1DC" w:sz="4"/>
              <w:left w:val="single" w:color="C9D1DC" w:sz="4"/>
              <w:bottom w:val="single" w:color="C9D1DC" w:sz="4"/>
              <w:right w:val="single" w:color="C9D1DC" w:sz="4"/>
            </w:tcBorders>
            <w:shd w:fill="1B2A41" w:color="auto" w:val="clear"/>
            <w:tcMar>
              <w:top w:type="dxa" w:w="40"/>
              <w:left w:type="dxa" w:w="80"/>
              <w:bottom w:type="dxa" w:w="40"/>
              <w:right w:type="dxa" w:w="80"/>
            </w:tcMar>
          </w:tcPr>
          <w:p>
            <w:pPr>
              <w:spacing w:after="0" w:line="232"/>
            </w:pPr>
            <w:r>
              <w:rPr>
                <w:rFonts w:ascii="Arial" w:cs="Arial" w:eastAsia="Arial" w:hAnsi="Arial"/>
                <w:b/>
                <w:bCs/>
                <w:color w:val="FFFFFF"/>
                <w:sz w:val="16"/>
                <w:szCs w:val="16"/>
              </w:rPr>
              <w:t xml:space="preserve">Giai đoạn</w:t>
            </w:r>
          </w:p>
        </w:tc>
        <w:tc>
          <w:tcPr>
            <w:tcW w:type="dxa" w:w="3700"/>
            <w:tcBorders>
              <w:top w:val="single" w:color="C9D1DC" w:sz="4"/>
              <w:left w:val="single" w:color="C9D1DC" w:sz="4"/>
              <w:bottom w:val="single" w:color="C9D1DC" w:sz="4"/>
              <w:right w:val="single" w:color="C9D1DC" w:sz="4"/>
            </w:tcBorders>
            <w:shd w:fill="1B2A41" w:color="auto" w:val="clear"/>
            <w:tcMar>
              <w:top w:type="dxa" w:w="40"/>
              <w:left w:type="dxa" w:w="80"/>
              <w:bottom w:type="dxa" w:w="40"/>
              <w:right w:type="dxa" w:w="80"/>
            </w:tcMar>
          </w:tcPr>
          <w:p>
            <w:pPr>
              <w:spacing w:after="0" w:line="232"/>
            </w:pPr>
            <w:r>
              <w:rPr>
                <w:rFonts w:ascii="Arial" w:cs="Arial" w:eastAsia="Arial" w:hAnsi="Arial"/>
                <w:b/>
                <w:bCs/>
                <w:color w:val="FFFFFF"/>
                <w:sz w:val="16"/>
                <w:szCs w:val="16"/>
              </w:rPr>
              <w:t xml:space="preserve">Việc cần làm</w:t>
            </w:r>
          </w:p>
        </w:tc>
        <w:tc>
          <w:tcPr>
            <w:tcW w:type="dxa" w:w="3300"/>
            <w:tcBorders>
              <w:top w:val="single" w:color="C9D1DC" w:sz="4"/>
              <w:left w:val="single" w:color="C9D1DC" w:sz="4"/>
              <w:bottom w:val="single" w:color="C9D1DC" w:sz="4"/>
              <w:right w:val="single" w:color="C9D1DC" w:sz="4"/>
            </w:tcBorders>
            <w:shd w:fill="1B2A41" w:color="auto" w:val="clear"/>
            <w:tcMar>
              <w:top w:type="dxa" w:w="40"/>
              <w:left w:type="dxa" w:w="80"/>
              <w:bottom w:type="dxa" w:w="40"/>
              <w:right w:type="dxa" w:w="80"/>
            </w:tcMar>
          </w:tcPr>
          <w:p>
            <w:pPr>
              <w:spacing w:after="0" w:line="232"/>
            </w:pPr>
            <w:r>
              <w:rPr>
                <w:rFonts w:ascii="Arial" w:cs="Arial" w:eastAsia="Arial" w:hAnsi="Arial"/>
                <w:b/>
                <w:bCs/>
                <w:color w:val="FFFFFF"/>
                <w:sz w:val="16"/>
                <w:szCs w:val="16"/>
              </w:rPr>
              <w:t xml:space="preserve">Điều kiện để sang bước sau</w:t>
            </w:r>
          </w:p>
        </w:tc>
        <w:tc>
          <w:tcPr>
            <w:tcW w:type="dxa" w:w="1876"/>
            <w:tcBorders>
              <w:top w:val="single" w:color="C9D1DC" w:sz="4"/>
              <w:left w:val="single" w:color="C9D1DC" w:sz="4"/>
              <w:bottom w:val="single" w:color="C9D1DC" w:sz="4"/>
              <w:right w:val="single" w:color="C9D1DC" w:sz="4"/>
            </w:tcBorders>
            <w:shd w:fill="1B2A41" w:color="auto" w:val="clear"/>
            <w:tcMar>
              <w:top w:type="dxa" w:w="40"/>
              <w:left w:type="dxa" w:w="80"/>
              <w:bottom w:type="dxa" w:w="40"/>
              <w:right w:type="dxa" w:w="80"/>
            </w:tcMar>
          </w:tcPr>
          <w:p>
            <w:pPr>
              <w:spacing w:after="0" w:line="232"/>
            </w:pPr>
            <w:r>
              <w:rPr>
                <w:rFonts w:ascii="Arial" w:cs="Arial" w:eastAsia="Arial" w:hAnsi="Arial"/>
                <w:b/>
                <w:bCs/>
                <w:color w:val="FFFFFF"/>
                <w:sz w:val="16"/>
                <w:szCs w:val="16"/>
              </w:rPr>
              <w:t xml:space="preserve">Phụ trách, thời hạn</w:t>
            </w:r>
          </w:p>
        </w:tc>
      </w:tr>
      <w:tr>
        <w:trPr>
          <w:cantSplit/>
        </w:trPr>
        <w:tc>
          <w:tcPr>
            <w:tcW w:type="dxa" w:w="38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1</w:t>
            </w:r>
          </w:p>
        </w:tc>
        <w:tc>
          <w:tcPr>
            <w:tcW w:type="dxa" w:w="125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Lead mới</w:t>
            </w:r>
          </w:p>
        </w:tc>
        <w:tc>
          <w:tcPr>
            <w:tcW w:type="dxa" w:w="370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Ghi vào CRM ngay: tên, công ty, số điện thoại hoặc email, nguồn lead. Liên hệ lần đầu theo mẫu </w:t>
            </w:r>
            <w:r>
              <w:rPr>
                <w:rFonts w:ascii="Arial" w:cs="Arial" w:eastAsia="Arial" w:hAnsi="Arial"/>
                <w:b w:val="false"/>
                <w:bCs w:val="false"/>
                <w:sz w:val="16"/>
                <w:szCs w:val="16"/>
              </w:rPr>
              <w:t xml:space="preserve">[mẫu follow-up số 1]</w:t>
            </w:r>
            <w:r>
              <w:rPr>
                <w:rFonts w:ascii="Arial" w:cs="Arial" w:eastAsia="Arial" w:hAnsi="Arial"/>
                <w:b w:val="false"/>
                <w:bCs w:val="false"/>
                <w:sz w:val="16"/>
                <w:szCs w:val="16"/>
              </w:rPr>
              <w:t xml:space="preserve">.</w:t>
            </w:r>
          </w:p>
        </w:tc>
        <w:tc>
          <w:tcPr>
            <w:tcW w:type="dxa" w:w="330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Đã nói chuyện được với đúng người liên hệ; nguồn lead đã được ghi.</w:t>
            </w:r>
          </w:p>
        </w:tc>
        <w:tc>
          <w:tcPr>
            <w:tcW w:type="dxa" w:w="1876"/>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Sale. Phản hồi trong </w:t>
            </w:r>
            <w:r>
              <w:rPr>
                <w:rFonts w:ascii="Arial" w:cs="Arial" w:eastAsia="Arial" w:hAnsi="Arial"/>
                <w:b w:val="false"/>
                <w:bCs w:val="false"/>
                <w:sz w:val="16"/>
                <w:szCs w:val="16"/>
              </w:rPr>
              <w:t xml:space="preserve">[4 giờ làm việc]</w:t>
            </w:r>
          </w:p>
        </w:tc>
      </w:tr>
      <w:tr>
        <w:trPr>
          <w:cantSplit/>
        </w:trPr>
        <w:tc>
          <w:tcPr>
            <w:tcW w:type="dxa" w:w="38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2</w:t>
            </w:r>
          </w:p>
        </w:tc>
        <w:tc>
          <w:tcPr>
            <w:tcW w:type="dxa" w:w="125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Khám phá nhu cầu</w:t>
            </w:r>
          </w:p>
        </w:tc>
        <w:tc>
          <w:tcPr>
            <w:tcW w:type="dxa" w:w="370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Gọi hoặc gặp. Hỏi: vấn đề đang gặp, ngân sách, ai quyết định, khi nào cần. Ghi kết quả vào ghi chú CRM.</w:t>
            </w:r>
          </w:p>
        </w:tc>
        <w:tc>
          <w:tcPr>
            <w:tcW w:type="dxa" w:w="330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Đạt </w:t>
            </w:r>
            <w:r>
              <w:rPr>
                <w:rFonts w:ascii="Arial" w:cs="Arial" w:eastAsia="Arial" w:hAnsi="Arial"/>
                <w:b w:val="false"/>
                <w:bCs w:val="false"/>
                <w:sz w:val="16"/>
                <w:szCs w:val="16"/>
              </w:rPr>
              <w:t xml:space="preserve">[tiêu chí lead đủ điều kiện của công ty]</w:t>
            </w:r>
            <w:r>
              <w:rPr>
                <w:rFonts w:ascii="Arial" w:cs="Arial" w:eastAsia="Arial" w:hAnsi="Arial"/>
                <w:b w:val="false"/>
                <w:bCs w:val="false"/>
                <w:sz w:val="16"/>
                <w:szCs w:val="16"/>
              </w:rPr>
              <w:t xml:space="preserve">: tạo Cơ hội. Chưa đạt: chuyển sang nuôi dưỡng hoặc đóng.</w:t>
            </w:r>
          </w:p>
        </w:tc>
        <w:tc>
          <w:tcPr>
            <w:tcW w:type="dxa" w:w="1876"/>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Sale. Ghi chú trong ngày</w:t>
            </w:r>
          </w:p>
        </w:tc>
      </w:tr>
      <w:tr>
        <w:trPr>
          <w:cantSplit/>
        </w:trPr>
        <w:tc>
          <w:tcPr>
            <w:tcW w:type="dxa" w:w="38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3</w:t>
            </w:r>
          </w:p>
        </w:tc>
        <w:tc>
          <w:tcPr>
            <w:tcW w:type="dxa" w:w="125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Đề xuất giải pháp</w:t>
            </w:r>
          </w:p>
        </w:tc>
        <w:tc>
          <w:tcPr>
            <w:tcW w:type="dxa" w:w="370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Demo hoặc trình bày giải pháp bám đúng nhu cầu đã ghi ở bước 2. Xác nhận phạm vi công việc.</w:t>
            </w:r>
          </w:p>
        </w:tc>
        <w:tc>
          <w:tcPr>
            <w:tcW w:type="dxa" w:w="330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Khách xác nhận phạm vi cần báo giá.</w:t>
            </w:r>
          </w:p>
        </w:tc>
        <w:tc>
          <w:tcPr>
            <w:tcW w:type="dxa" w:w="1876"/>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Sale. Trong </w:t>
            </w:r>
            <w:r>
              <w:rPr>
                <w:rFonts w:ascii="Arial" w:cs="Arial" w:eastAsia="Arial" w:hAnsi="Arial"/>
                <w:b w:val="false"/>
                <w:bCs w:val="false"/>
                <w:sz w:val="16"/>
                <w:szCs w:val="16"/>
              </w:rPr>
              <w:t xml:space="preserve">[3 ngày làm việc]</w:t>
            </w:r>
          </w:p>
        </w:tc>
      </w:tr>
      <w:tr>
        <w:trPr>
          <w:cantSplit/>
        </w:trPr>
        <w:tc>
          <w:tcPr>
            <w:tcW w:type="dxa" w:w="38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4</w:t>
            </w:r>
          </w:p>
        </w:tc>
        <w:tc>
          <w:tcPr>
            <w:tcW w:type="dxa" w:w="125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Báo giá</w:t>
            </w:r>
          </w:p>
        </w:tc>
        <w:tc>
          <w:tcPr>
            <w:tcW w:type="dxa" w:w="370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Gửi báo giá bằng mẫu chuẩn của công ty. Chiết khấu đến </w:t>
            </w:r>
            <w:r>
              <w:rPr>
                <w:rFonts w:ascii="Arial" w:cs="Arial" w:eastAsia="Arial" w:hAnsi="Arial"/>
                <w:b w:val="false"/>
                <w:bCs w:val="false"/>
                <w:sz w:val="16"/>
                <w:szCs w:val="16"/>
              </w:rPr>
              <w:t xml:space="preserve">[x%]</w:t>
            </w:r>
            <w:r>
              <w:rPr>
                <w:rFonts w:ascii="Arial" w:cs="Arial" w:eastAsia="Arial" w:hAnsi="Arial"/>
                <w:b w:val="false"/>
                <w:bCs w:val="false"/>
                <w:sz w:val="16"/>
                <w:szCs w:val="16"/>
              </w:rPr>
              <w:t xml:space="preserve"> tự quyết; vượt mức này cần </w:t>
            </w:r>
            <w:r>
              <w:rPr>
                <w:rFonts w:ascii="Arial" w:cs="Arial" w:eastAsia="Arial" w:hAnsi="Arial"/>
                <w:b w:val="false"/>
                <w:bCs w:val="false"/>
                <w:sz w:val="16"/>
                <w:szCs w:val="16"/>
              </w:rPr>
              <w:t xml:space="preserve">[trưởng nhóm hoặc giám đốc]</w:t>
            </w:r>
            <w:r>
              <w:rPr>
                <w:rFonts w:ascii="Arial" w:cs="Arial" w:eastAsia="Arial" w:hAnsi="Arial"/>
                <w:b w:val="false"/>
                <w:bCs w:val="false"/>
                <w:sz w:val="16"/>
                <w:szCs w:val="16"/>
              </w:rPr>
              <w:t xml:space="preserve"> duyệt trước khi gửi.</w:t>
            </w:r>
          </w:p>
        </w:tc>
        <w:tc>
          <w:tcPr>
            <w:tcW w:type="dxa" w:w="330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Khách xác nhận đã nhận báo giá; ngày theo dõi tiếp theo đã đặt trong CRM.</w:t>
            </w:r>
          </w:p>
        </w:tc>
        <w:tc>
          <w:tcPr>
            <w:tcW w:type="dxa" w:w="1876"/>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Sale. Gửi trong </w:t>
            </w:r>
            <w:r>
              <w:rPr>
                <w:rFonts w:ascii="Arial" w:cs="Arial" w:eastAsia="Arial" w:hAnsi="Arial"/>
                <w:b w:val="false"/>
                <w:bCs w:val="false"/>
                <w:sz w:val="16"/>
                <w:szCs w:val="16"/>
              </w:rPr>
              <w:t xml:space="preserve">[2 ngày làm việc]</w:t>
            </w:r>
            <w:r>
              <w:rPr>
                <w:rFonts w:ascii="Arial" w:cs="Arial" w:eastAsia="Arial" w:hAnsi="Arial"/>
                <w:b w:val="false"/>
                <w:bCs w:val="false"/>
                <w:sz w:val="16"/>
                <w:szCs w:val="16"/>
              </w:rPr>
              <w:t xml:space="preserve"> sau bước 3</w:t>
            </w:r>
          </w:p>
        </w:tc>
      </w:tr>
      <w:tr>
        <w:trPr>
          <w:cantSplit/>
        </w:trPr>
        <w:tc>
          <w:tcPr>
            <w:tcW w:type="dxa" w:w="38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5</w:t>
            </w:r>
          </w:p>
        </w:tc>
        <w:tc>
          <w:tcPr>
            <w:tcW w:type="dxa" w:w="125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Đàm phán</w:t>
            </w:r>
          </w:p>
        </w:tc>
        <w:tc>
          <w:tcPr>
            <w:tcW w:type="dxa" w:w="370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Ghi mọi thay đổi về giá, phạm vi, điều khoản. Không hứa điều gì ngoài mức đã được duyệt.</w:t>
            </w:r>
          </w:p>
        </w:tc>
        <w:tc>
          <w:tcPr>
            <w:tcW w:type="dxa" w:w="330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Hai bên thống nhất điều khoản bằng văn bản (email xác nhận hoặc hợp đồng nháp).</w:t>
            </w:r>
          </w:p>
        </w:tc>
        <w:tc>
          <w:tcPr>
            <w:tcW w:type="dxa" w:w="1876"/>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Sale, </w:t>
            </w:r>
            <w:r>
              <w:rPr>
                <w:rFonts w:ascii="Arial" w:cs="Arial" w:eastAsia="Arial" w:hAnsi="Arial"/>
                <w:b w:val="false"/>
                <w:bCs w:val="false"/>
                <w:sz w:val="16"/>
                <w:szCs w:val="16"/>
              </w:rPr>
              <w:t xml:space="preserve">[quản lý]</w:t>
            </w:r>
            <w:r>
              <w:rPr>
                <w:rFonts w:ascii="Arial" w:cs="Arial" w:eastAsia="Arial" w:hAnsi="Arial"/>
                <w:b w:val="false"/>
                <w:bCs w:val="false"/>
                <w:sz w:val="16"/>
                <w:szCs w:val="16"/>
              </w:rPr>
              <w:t xml:space="preserve"> hỗ trợ. Theo dõi mỗi </w:t>
            </w:r>
            <w:r>
              <w:rPr>
                <w:rFonts w:ascii="Arial" w:cs="Arial" w:eastAsia="Arial" w:hAnsi="Arial"/>
                <w:b w:val="false"/>
                <w:bCs w:val="false"/>
                <w:sz w:val="16"/>
                <w:szCs w:val="16"/>
              </w:rPr>
              <w:t xml:space="preserve">[3 ngày]</w:t>
            </w:r>
          </w:p>
        </w:tc>
      </w:tr>
      <w:tr>
        <w:trPr>
          <w:cantSplit/>
        </w:trPr>
        <w:tc>
          <w:tcPr>
            <w:tcW w:type="dxa" w:w="38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6</w:t>
            </w:r>
          </w:p>
        </w:tc>
        <w:tc>
          <w:tcPr>
            <w:tcW w:type="dxa" w:w="125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Chốt: thắng hoặc thua</w:t>
            </w:r>
          </w:p>
        </w:tc>
        <w:tc>
          <w:tcPr>
            <w:tcW w:type="dxa" w:w="370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Thắng:</w:t>
            </w:r>
            <w:r>
              <w:rPr>
                <w:rFonts w:ascii="Arial" w:cs="Arial" w:eastAsia="Arial" w:hAnsi="Arial"/>
                <w:b w:val="false"/>
                <w:bCs w:val="false"/>
                <w:sz w:val="16"/>
                <w:szCs w:val="16"/>
              </w:rPr>
              <w:t xml:space="preserve"> hợp đồng ký hoặc đơn hàng được xác nhận. </w:t>
            </w:r>
            <w:r>
              <w:rPr>
                <w:rFonts w:ascii="Arial" w:cs="Arial" w:eastAsia="Arial" w:hAnsi="Arial"/>
                <w:b w:val="false"/>
                <w:bCs w:val="false"/>
                <w:sz w:val="16"/>
                <w:szCs w:val="16"/>
              </w:rPr>
              <w:t xml:space="preserve">Thua:</w:t>
            </w:r>
            <w:r>
              <w:rPr>
                <w:rFonts w:ascii="Arial" w:cs="Arial" w:eastAsia="Arial" w:hAnsi="Arial"/>
                <w:b w:val="false"/>
                <w:bCs w:val="false"/>
                <w:sz w:val="16"/>
                <w:szCs w:val="16"/>
              </w:rPr>
              <w:t xml:space="preserve"> bắt buộc chọn lý do trong CRM.</w:t>
            </w:r>
          </w:p>
        </w:tc>
        <w:tc>
          <w:tcPr>
            <w:tcW w:type="dxa" w:w="330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Thắng: đã ghi giá trị và ngày chốt. Thua: đã ghi lý do, và ngày liên hệ lại nếu có.</w:t>
            </w:r>
          </w:p>
        </w:tc>
        <w:tc>
          <w:tcPr>
            <w:tcW w:type="dxa" w:w="1876"/>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Sale. Cập nhật trong ngày</w:t>
            </w:r>
          </w:p>
        </w:tc>
      </w:tr>
      <w:tr>
        <w:trPr>
          <w:cantSplit/>
        </w:trPr>
        <w:tc>
          <w:tcPr>
            <w:tcW w:type="dxa" w:w="38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7</w:t>
            </w:r>
          </w:p>
        </w:tc>
        <w:tc>
          <w:tcPr>
            <w:tcW w:type="dxa" w:w="125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Bàn giao sau bán</w:t>
            </w:r>
          </w:p>
        </w:tc>
        <w:tc>
          <w:tcPr>
            <w:tcW w:type="dxa" w:w="370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Bàn giao hồ sơ cho </w:t>
            </w:r>
            <w:r>
              <w:rPr>
                <w:rFonts w:ascii="Arial" w:cs="Arial" w:eastAsia="Arial" w:hAnsi="Arial"/>
                <w:b w:val="false"/>
                <w:bCs w:val="false"/>
                <w:sz w:val="16"/>
                <w:szCs w:val="16"/>
              </w:rPr>
              <w:t xml:space="preserve">[bộ phận triển khai hoặc chăm sóc khách hàng]</w:t>
            </w:r>
            <w:r>
              <w:rPr>
                <w:rFonts w:ascii="Arial" w:cs="Arial" w:eastAsia="Arial" w:hAnsi="Arial"/>
                <w:b w:val="false"/>
                <w:bCs w:val="false"/>
                <w:sz w:val="16"/>
                <w:szCs w:val="16"/>
              </w:rPr>
              <w:t xml:space="preserve">. Báo kế toán xuất hóa đơn và theo dõi thanh toán.</w:t>
            </w:r>
          </w:p>
        </w:tc>
        <w:tc>
          <w:tcPr>
            <w:tcW w:type="dxa" w:w="3300"/>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Người nhận bàn giao xác nhận đã nhận đủ thông tin.</w:t>
            </w:r>
          </w:p>
        </w:tc>
        <w:tc>
          <w:tcPr>
            <w:tcW w:type="dxa" w:w="1876"/>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Sale và </w:t>
            </w:r>
            <w:r>
              <w:rPr>
                <w:rFonts w:ascii="Arial" w:cs="Arial" w:eastAsia="Arial" w:hAnsi="Arial"/>
                <w:b w:val="false"/>
                <w:bCs w:val="false"/>
                <w:sz w:val="16"/>
                <w:szCs w:val="16"/>
              </w:rPr>
              <w:t xml:space="preserve">[bộ phận nhận]</w:t>
            </w:r>
            <w:r>
              <w:rPr>
                <w:rFonts w:ascii="Arial" w:cs="Arial" w:eastAsia="Arial" w:hAnsi="Arial"/>
                <w:b w:val="false"/>
                <w:bCs w:val="false"/>
                <w:sz w:val="16"/>
                <w:szCs w:val="16"/>
              </w:rPr>
              <w:t xml:space="preserve">. Trong </w:t>
            </w:r>
            <w:r>
              <w:rPr>
                <w:rFonts w:ascii="Arial" w:cs="Arial" w:eastAsia="Arial" w:hAnsi="Arial"/>
                <w:b w:val="false"/>
                <w:bCs w:val="false"/>
                <w:sz w:val="16"/>
                <w:szCs w:val="16"/>
              </w:rPr>
              <w:t xml:space="preserve">[2 ngày làm việc]</w:t>
            </w:r>
          </w:p>
        </w:tc>
      </w:tr>
    </w:tbl>
    <w:p>
      <w:pPr>
        <w:keepNext/>
        <w:spacing w:after="50" w:before="110"/>
      </w:pPr>
      <w:r>
        <w:rPr>
          <w:rFonts w:ascii="Arial" w:cs="Arial" w:eastAsia="Arial" w:hAnsi="Arial"/>
          <w:b/>
          <w:bCs/>
          <w:color w:val="1F4E9E"/>
          <w:sz w:val="21"/>
          <w:szCs w:val="21"/>
        </w:rPr>
        <w:t xml:space="preserve">3. Năm quy tắc bắt buộc</w:t>
      </w:r>
    </w:p>
    <w:p>
      <w:pPr>
        <w:pStyle w:val="ListParagraph"/>
        <w:numPr>
          <w:ilvl w:val="0"/>
          <w:numId w:val="2"/>
        </w:numPr>
        <w:spacing w:after="20" w:before="0" w:line="250"/>
      </w:pPr>
      <w:r>
        <w:rPr>
          <w:rFonts w:ascii="Arial" w:cs="Arial" w:eastAsia="Arial" w:hAnsi="Arial"/>
          <w:b/>
          <w:bCs/>
          <w:sz w:val="18"/>
          <w:szCs w:val="18"/>
        </w:rPr>
        <w:t xml:space="preserve">Không có trong CRM thì không tính</w:t>
      </w:r>
      <w:r>
        <w:rPr>
          <w:rFonts w:ascii="Arial" w:cs="Arial" w:eastAsia="Arial" w:hAnsi="Arial"/>
          <w:sz w:val="18"/>
          <w:szCs w:val="18"/>
        </w:rPr>
        <w:t xml:space="preserve"> vào dự báo và doanh số của nhân viên.</w:t>
      </w:r>
    </w:p>
    <w:p>
      <w:pPr>
        <w:pStyle w:val="ListParagraph"/>
        <w:numPr>
          <w:ilvl w:val="0"/>
          <w:numId w:val="2"/>
        </w:numPr>
        <w:spacing w:after="20" w:before="0" w:line="250"/>
      </w:pPr>
      <w:r>
        <w:rPr>
          <w:rFonts w:ascii="Arial" w:cs="Arial" w:eastAsia="Arial" w:hAnsi="Arial"/>
          <w:b/>
          <w:bCs/>
          <w:sz w:val="18"/>
          <w:szCs w:val="18"/>
        </w:rPr>
        <w:t xml:space="preserve">Mỗi cơ hội đang mở luôn có "việc tiếp theo" kèm ngày cụ thể.</w:t>
      </w:r>
      <w:r>
        <w:rPr>
          <w:rFonts w:ascii="Arial" w:cs="Arial" w:eastAsia="Arial" w:hAnsi="Arial"/>
          <w:sz w:val="18"/>
          <w:szCs w:val="18"/>
        </w:rPr>
        <w:t xml:space="preserve"> Cơ hội không có hoạt động quá </w:t>
      </w:r>
      <w:r>
        <w:rPr>
          <w:rFonts w:ascii="Arial" w:cs="Arial" w:eastAsia="Arial" w:hAnsi="Arial"/>
          <w:color w:val="1F4E9E"/>
          <w:sz w:val="18"/>
          <w:szCs w:val="18"/>
        </w:rPr>
        <w:t xml:space="preserve">[14 ngày]</w:t>
      </w:r>
      <w:r>
        <w:rPr>
          <w:rFonts w:ascii="Arial" w:cs="Arial" w:eastAsia="Arial" w:hAnsi="Arial"/>
          <w:sz w:val="18"/>
          <w:szCs w:val="18"/>
        </w:rPr>
        <w:t xml:space="preserve"> phải được rà soát: tiếp tục, hoãn có lý do hoặc đóng.</w:t>
      </w:r>
    </w:p>
    <w:p>
      <w:pPr>
        <w:pStyle w:val="ListParagraph"/>
        <w:numPr>
          <w:ilvl w:val="0"/>
          <w:numId w:val="2"/>
        </w:numPr>
        <w:spacing w:after="20" w:before="0" w:line="250"/>
      </w:pPr>
      <w:r>
        <w:rPr>
          <w:rFonts w:ascii="Arial" w:cs="Arial" w:eastAsia="Arial" w:hAnsi="Arial"/>
          <w:b/>
          <w:bCs/>
          <w:sz w:val="18"/>
          <w:szCs w:val="18"/>
        </w:rPr>
        <w:t xml:space="preserve">Chỉ chuyển giai đoạn khi đạt điều kiện</w:t>
      </w:r>
      <w:r>
        <w:rPr>
          <w:rFonts w:ascii="Arial" w:cs="Arial" w:eastAsia="Arial" w:hAnsi="Arial"/>
          <w:sz w:val="18"/>
          <w:szCs w:val="18"/>
        </w:rPr>
        <w:t xml:space="preserve"> ở cột thứ tư. Không chuyển sớm cho đẹp số liệu.</w:t>
      </w:r>
    </w:p>
    <w:p>
      <w:pPr>
        <w:pStyle w:val="ListParagraph"/>
        <w:numPr>
          <w:ilvl w:val="0"/>
          <w:numId w:val="2"/>
        </w:numPr>
        <w:spacing w:after="20" w:before="0" w:line="250"/>
      </w:pPr>
      <w:r>
        <w:rPr>
          <w:rFonts w:ascii="Arial" w:cs="Arial" w:eastAsia="Arial" w:hAnsi="Arial"/>
          <w:b/>
          <w:bCs/>
          <w:sz w:val="18"/>
          <w:szCs w:val="18"/>
        </w:rPr>
        <w:t xml:space="preserve">Chiết khấu và điều khoản ngoài chuẩn</w:t>
      </w:r>
      <w:r>
        <w:rPr>
          <w:rFonts w:ascii="Arial" w:cs="Arial" w:eastAsia="Arial" w:hAnsi="Arial"/>
          <w:sz w:val="18"/>
          <w:szCs w:val="18"/>
        </w:rPr>
        <w:t xml:space="preserve"> phải có người duyệt đúng cấp trước khi báo cho khách.</w:t>
      </w:r>
    </w:p>
    <w:p>
      <w:pPr>
        <w:pStyle w:val="ListParagraph"/>
        <w:numPr>
          <w:ilvl w:val="0"/>
          <w:numId w:val="2"/>
        </w:numPr>
        <w:spacing w:after="20" w:before="0" w:line="250"/>
      </w:pPr>
      <w:r>
        <w:rPr>
          <w:rFonts w:ascii="Arial" w:cs="Arial" w:eastAsia="Arial" w:hAnsi="Arial"/>
          <w:b/>
          <w:bCs/>
          <w:sz w:val="18"/>
          <w:szCs w:val="18"/>
        </w:rPr>
        <w:t xml:space="preserve">Tin nhắn, email quảng cáo và dữ liệu cá nhân:</w:t>
      </w:r>
      <w:r>
        <w:rPr>
          <w:rFonts w:ascii="Arial" w:cs="Arial" w:eastAsia="Arial" w:hAnsi="Arial"/>
          <w:sz w:val="18"/>
          <w:szCs w:val="18"/>
        </w:rPr>
        <w:t xml:space="preserve"> chỉ gửi khi có đồng ý hoặc cơ sở hợp pháp, luôn có cách từ chối; chưa chắc thì hỏi </w:t>
      </w:r>
      <w:r>
        <w:rPr>
          <w:rFonts w:ascii="Arial" w:cs="Arial" w:eastAsia="Arial" w:hAnsi="Arial"/>
          <w:color w:val="1F4E9E"/>
          <w:sz w:val="18"/>
          <w:szCs w:val="18"/>
        </w:rPr>
        <w:t xml:space="preserve">[người phụ trách pháp chế hoặc luật sư]</w:t>
      </w:r>
      <w:r>
        <w:rPr>
          <w:rFonts w:ascii="Arial" w:cs="Arial" w:eastAsia="Arial" w:hAnsi="Arial"/>
          <w:sz w:val="18"/>
          <w:szCs w:val="18"/>
        </w:rPr>
        <w:t xml:space="preserve"> trước.</w:t>
      </w:r>
    </w:p>
    <w:p>
      <w:pPr>
        <w:keepNext/>
        <w:spacing w:after="50" w:before="110"/>
      </w:pPr>
      <w:r>
        <w:rPr>
          <w:rFonts w:ascii="Arial" w:cs="Arial" w:eastAsia="Arial" w:hAnsi="Arial"/>
          <w:b/>
          <w:bCs/>
          <w:color w:val="1F4E9E"/>
          <w:sz w:val="21"/>
          <w:szCs w:val="21"/>
        </w:rPr>
        <w:t xml:space="preserve">4. Vai trò</w:t>
      </w:r>
    </w:p>
    <w:tbl>
      <w:tblPr>
        <w:tblW w:type="dxa" w:w="10506"/>
        <w:tblBorders>
          <w:top w:val="single" w:color="auto" w:sz="4"/>
          <w:left w:val="single" w:color="auto" w:sz="4"/>
          <w:bottom w:val="single" w:color="auto" w:sz="4"/>
          <w:right w:val="single" w:color="auto" w:sz="4"/>
          <w:insideH w:val="single" w:color="auto" w:sz="4"/>
          <w:insideV w:val="single" w:color="auto" w:sz="4"/>
        </w:tblBorders>
      </w:tblPr>
      <w:tblGrid>
        <w:gridCol w:w="2300"/>
        <w:gridCol w:w="8206"/>
      </w:tblGrid>
      <w:tr>
        <w:trPr>
          <w:cantSplit/>
        </w:trPr>
        <w:tc>
          <w:tcPr>
            <w:tcW w:type="dxa" w:w="2300"/>
            <w:tcBorders>
              <w:top w:val="single" w:color="C9D1DC" w:sz="4"/>
              <w:left w:val="single" w:color="C9D1DC" w:sz="4"/>
              <w:bottom w:val="single" w:color="C9D1DC" w:sz="4"/>
              <w:right w:val="single" w:color="C9D1DC" w:sz="4"/>
            </w:tcBorders>
            <w:shd w:fill="F3F6FA" w:color="auto" w:val="clear"/>
            <w:tcMar>
              <w:top w:type="dxa" w:w="40"/>
              <w:left w:type="dxa" w:w="80"/>
              <w:bottom w:type="dxa" w:w="40"/>
              <w:right w:type="dxa" w:w="80"/>
            </w:tcMar>
          </w:tcPr>
          <w:p>
            <w:pPr>
              <w:spacing w:after="0" w:line="232"/>
            </w:pPr>
            <w:r>
              <w:rPr>
                <w:rFonts w:ascii="Arial" w:cs="Arial" w:eastAsia="Arial" w:hAnsi="Arial"/>
                <w:b/>
                <w:bCs/>
                <w:sz w:val="16"/>
                <w:szCs w:val="16"/>
              </w:rPr>
              <w:t xml:space="preserve">Nhân viên bán hàng</w:t>
            </w:r>
          </w:p>
        </w:tc>
        <w:tc>
          <w:tcPr>
            <w:tcW w:type="dxa" w:w="8206"/>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Là người chịu trách nhiệm cuối cùng cho cơ hội của mình, từ lead đến bàn giao. Cập nhật CRM trong ngày.</w:t>
            </w:r>
          </w:p>
        </w:tc>
      </w:tr>
      <w:tr>
        <w:trPr>
          <w:cantSplit/>
        </w:trPr>
        <w:tc>
          <w:tcPr>
            <w:tcW w:type="dxa" w:w="2300"/>
            <w:tcBorders>
              <w:top w:val="single" w:color="C9D1DC" w:sz="4"/>
              <w:left w:val="single" w:color="C9D1DC" w:sz="4"/>
              <w:bottom w:val="single" w:color="C9D1DC" w:sz="4"/>
              <w:right w:val="single" w:color="C9D1DC" w:sz="4"/>
            </w:tcBorders>
            <w:shd w:fill="F3F6FA" w:color="auto" w:val="clear"/>
            <w:tcMar>
              <w:top w:type="dxa" w:w="40"/>
              <w:left w:type="dxa" w:w="80"/>
              <w:bottom w:type="dxa" w:w="40"/>
              <w:right w:type="dxa" w:w="80"/>
            </w:tcMar>
          </w:tcPr>
          <w:p>
            <w:pPr>
              <w:spacing w:after="0" w:line="232"/>
            </w:pPr>
            <w:r>
              <w:rPr>
                <w:rFonts w:ascii="Arial" w:cs="Arial" w:eastAsia="Arial" w:hAnsi="Arial"/>
                <w:b/>
                <w:bCs/>
                <w:sz w:val="16"/>
                <w:szCs w:val="16"/>
              </w:rPr>
              <w:t xml:space="preserve">Trưởng nhóm, quản lý bán hàng</w:t>
            </w:r>
          </w:p>
        </w:tc>
        <w:tc>
          <w:tcPr>
            <w:tcW w:type="dxa" w:w="8206"/>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Rà soát pipeline hằng tuần, duyệt chiết khấu vượt mức, gỡ các cơ hội bị kẹt.</w:t>
            </w:r>
          </w:p>
        </w:tc>
      </w:tr>
      <w:tr>
        <w:trPr>
          <w:cantSplit/>
        </w:trPr>
        <w:tc>
          <w:tcPr>
            <w:tcW w:type="dxa" w:w="2300"/>
            <w:tcBorders>
              <w:top w:val="single" w:color="C9D1DC" w:sz="4"/>
              <w:left w:val="single" w:color="C9D1DC" w:sz="4"/>
              <w:bottom w:val="single" w:color="C9D1DC" w:sz="4"/>
              <w:right w:val="single" w:color="C9D1DC" w:sz="4"/>
            </w:tcBorders>
            <w:shd w:fill="F3F6FA" w:color="auto" w:val="clear"/>
            <w:tcMar>
              <w:top w:type="dxa" w:w="40"/>
              <w:left w:type="dxa" w:w="80"/>
              <w:bottom w:type="dxa" w:w="40"/>
              <w:right w:type="dxa" w:w="80"/>
            </w:tcMar>
          </w:tcPr>
          <w:p>
            <w:pPr>
              <w:spacing w:after="0" w:line="232"/>
            </w:pPr>
            <w:r>
              <w:rPr>
                <w:rFonts w:ascii="Arial" w:cs="Arial" w:eastAsia="Arial" w:hAnsi="Arial"/>
                <w:b/>
                <w:bCs/>
                <w:sz w:val="16"/>
                <w:szCs w:val="16"/>
              </w:rPr>
              <w:t xml:space="preserve">Giám đốc, chủ doanh nghiệp</w:t>
            </w:r>
          </w:p>
        </w:tc>
        <w:tc>
          <w:tcPr>
            <w:tcW w:type="dxa" w:w="8206"/>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Duyệt ngoại lệ, chốt các thay đổi của quy trình và rà soát quy trình mỗi </w:t>
            </w:r>
            <w:r>
              <w:rPr>
                <w:rFonts w:ascii="Arial" w:cs="Arial" w:eastAsia="Arial" w:hAnsi="Arial"/>
                <w:b w:val="false"/>
                <w:bCs w:val="false"/>
                <w:sz w:val="16"/>
                <w:szCs w:val="16"/>
              </w:rPr>
              <w:t xml:space="preserve">[quý]</w:t>
            </w:r>
            <w:r>
              <w:rPr>
                <w:rFonts w:ascii="Arial" w:cs="Arial" w:eastAsia="Arial" w:hAnsi="Arial"/>
                <w:b w:val="false"/>
                <w:bCs w:val="false"/>
                <w:sz w:val="16"/>
                <w:szCs w:val="16"/>
              </w:rPr>
              <w:t xml:space="preserve">.</w:t>
            </w:r>
          </w:p>
        </w:tc>
      </w:tr>
      <w:tr>
        <w:trPr>
          <w:cantSplit/>
        </w:trPr>
        <w:tc>
          <w:tcPr>
            <w:tcW w:type="dxa" w:w="2300"/>
            <w:tcBorders>
              <w:top w:val="single" w:color="C9D1DC" w:sz="4"/>
              <w:left w:val="single" w:color="C9D1DC" w:sz="4"/>
              <w:bottom w:val="single" w:color="C9D1DC" w:sz="4"/>
              <w:right w:val="single" w:color="C9D1DC" w:sz="4"/>
            </w:tcBorders>
            <w:shd w:fill="F3F6FA" w:color="auto" w:val="clear"/>
            <w:tcMar>
              <w:top w:type="dxa" w:w="40"/>
              <w:left w:type="dxa" w:w="80"/>
              <w:bottom w:type="dxa" w:w="40"/>
              <w:right w:type="dxa" w:w="80"/>
            </w:tcMar>
          </w:tcPr>
          <w:p>
            <w:pPr>
              <w:spacing w:after="0" w:line="232"/>
            </w:pPr>
            <w:r>
              <w:rPr>
                <w:rFonts w:ascii="Arial" w:cs="Arial" w:eastAsia="Arial" w:hAnsi="Arial"/>
                <w:b/>
                <w:bCs/>
                <w:sz w:val="16"/>
                <w:szCs w:val="16"/>
              </w:rPr>
              <w:t xml:space="preserve">Kế toán, vận hành</w:t>
            </w:r>
          </w:p>
        </w:tc>
        <w:tc>
          <w:tcPr>
            <w:tcW w:type="dxa" w:w="8206"/>
            <w:tcBorders>
              <w:top w:val="single" w:color="C9D1DC" w:sz="4"/>
              <w:left w:val="single" w:color="C9D1DC" w:sz="4"/>
              <w:bottom w:val="single" w:color="C9D1DC" w:sz="4"/>
              <w:right w:val="single" w:color="C9D1DC" w:sz="4"/>
            </w:tcBorders>
            <w:tcMar>
              <w:top w:type="dxa" w:w="40"/>
              <w:left w:type="dxa" w:w="80"/>
              <w:bottom w:type="dxa" w:w="40"/>
              <w:right w:type="dxa" w:w="80"/>
            </w:tcMar>
          </w:tcPr>
          <w:p>
            <w:pPr>
              <w:spacing w:after="0" w:line="232"/>
            </w:pPr>
            <w:r>
              <w:rPr>
                <w:rFonts w:ascii="Arial" w:cs="Arial" w:eastAsia="Arial" w:hAnsi="Arial"/>
                <w:b w:val="false"/>
                <w:bCs w:val="false"/>
                <w:sz w:val="16"/>
                <w:szCs w:val="16"/>
              </w:rPr>
              <w:t xml:space="preserve">Nhận bàn giao đơn thắng, xuất hóa đơn, theo dõi công nợ và báo lại cho sale khi khách chậm thanh toán.</w:t>
            </w:r>
          </w:p>
        </w:tc>
      </w:tr>
    </w:tbl>
    <w:p>
      <w:pPr>
        <w:spacing w:after="20" w:before="40" w:line="252"/>
      </w:pPr>
      <w:r>
        <w:rPr>
          <w:rFonts w:ascii="Arial" w:cs="Arial" w:eastAsia="Arial" w:hAnsi="Arial"/>
          <w:color w:val="5A6472"/>
          <w:sz w:val="16"/>
          <w:szCs w:val="16"/>
        </w:rPr>
        <w:t xml:space="preserve">Doanh nghiệp nhỏ có thể để một người giữ nhiều vai trò, nhưng mỗi cơ hội vẫn chỉ nên có một người chịu trách nhiệm cuối cùng.</w:t>
      </w:r>
    </w:p>
    <w:p>
      <w:pPr>
        <w:keepNext/>
        <w:spacing w:after="50" w:before="110"/>
      </w:pPr>
      <w:r>
        <w:rPr>
          <w:rFonts w:ascii="Arial" w:cs="Arial" w:eastAsia="Arial" w:hAnsi="Arial"/>
          <w:b/>
          <w:bCs/>
          <w:color w:val="1F4E9E"/>
          <w:sz w:val="21"/>
          <w:szCs w:val="21"/>
        </w:rPr>
        <w:t xml:space="preserve">5. Nhịp rà soát hằng tuần</w:t>
      </w:r>
    </w:p>
    <w:p>
      <w:pPr>
        <w:spacing w:after="40" w:before="0" w:line="252"/>
      </w:pPr>
      <w:r>
        <w:rPr>
          <w:rFonts w:ascii="Arial" w:cs="Arial" w:eastAsia="Arial" w:hAnsi="Arial"/>
          <w:sz w:val="18"/>
          <w:szCs w:val="18"/>
        </w:rPr>
        <w:t xml:space="preserve">Họp pipeline </w:t>
      </w:r>
      <w:r>
        <w:rPr>
          <w:rFonts w:ascii="Arial" w:cs="Arial" w:eastAsia="Arial" w:hAnsi="Arial"/>
          <w:sz w:val="18"/>
          <w:szCs w:val="18"/>
        </w:rPr>
        <w:t xml:space="preserve">[30 phút, ngày ... mỗi tuần]</w:t>
      </w:r>
      <w:r>
        <w:rPr>
          <w:rFonts w:ascii="Arial" w:cs="Arial" w:eastAsia="Arial" w:hAnsi="Arial"/>
          <w:sz w:val="18"/>
          <w:szCs w:val="18"/>
        </w:rPr>
        <w:t xml:space="preserve">. Xem: số cuộc hẹn mới, giá trị cơ hội theo từng giai đoạn, tỷ lệ chuyển giữa các giai đoạn, thời gian phản hồi lead đầu tiên, lý do thua. Với từng cơ hội kẹt, hỏi một câu: </w:t>
      </w:r>
      <w:r>
        <w:rPr>
          <w:rFonts w:ascii="Arial" w:cs="Arial" w:eastAsia="Arial" w:hAnsi="Arial"/>
          <w:sz w:val="18"/>
          <w:szCs w:val="18"/>
        </w:rPr>
        <w:t xml:space="preserve">việc tiếp theo là gì và ai làm, khi nào?</w:t>
      </w:r>
    </w:p>
    <w:p>
      <w:pPr>
        <w:pBdr>
          <w:top w:val="single" w:color="C9D1DC" w:sz="4" w:space="4"/>
        </w:pBdr>
        <w:spacing w:after="0" w:before="100" w:line="220"/>
      </w:pPr>
      <w:r>
        <w:rPr>
          <w:rFonts w:ascii="Arial" w:cs="Arial" w:eastAsia="Arial" w:hAnsi="Arial"/>
          <w:color w:val="5A6472"/>
          <w:sz w:val="14"/>
          <w:szCs w:val="14"/>
        </w:rPr>
        <w:t xml:space="preserve">Mẫu tham khảo do Phanmembiz soạn, phiên bản 20/10/2026, chưa được thử nghiệm tại doanh nghiệp cụ thể; hãy điều chỉnh theo cách bán hàng thực tế của bạn. Hợp đồng, điều khoản pháp lý và quy định về dữ liệu cá nhân cần luật sư rà soát. phanmembiz.com</w:t>
      </w:r>
    </w:p>
    <w:sectPr>
      <w:pgSz w:w="11906" w:h="16838" w:orient="portrait"/>
      <w:pgMar w:top="640" w:right="700" w:bottom="560" w:left="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4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quy trình bán hàng (SOP) 1 trang cho doanh nghiệp dưới 50 người</dc:title>
  <dc:creator>Phanmembiz</dc:creator>
  <cp:lastModifiedBy>Un-named</cp:lastModifiedBy>
  <cp:revision>1</cp:revision>
  <dcterms:created xsi:type="dcterms:W3CDTF">2026-10-20T10:35:07.093Z</dcterms:created>
  <dcterms:modified xsi:type="dcterms:W3CDTF">2026-10-20T10:35:07.093Z</dcterms:modified>
</cp:coreProperties>
</file>

<file path=docProps/custom.xml><?xml version="1.0" encoding="utf-8"?>
<Properties xmlns="http://schemas.openxmlformats.org/officeDocument/2006/custom-properties" xmlns:vt="http://schemas.openxmlformats.org/officeDocument/2006/docPropsVTypes"/>
</file>